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FC632E" w:rsidRDefault="00BD2363" w:rsidP="00BD2363">
      <w:pPr>
        <w:jc w:val="center"/>
        <w:rPr>
          <w:b/>
          <w:szCs w:val="24"/>
          <w:lang w:val="sr-Cyrl-RS"/>
        </w:rPr>
      </w:pPr>
      <w:r w:rsidRPr="00FC632E">
        <w:rPr>
          <w:b/>
          <w:szCs w:val="24"/>
          <w:lang w:val="sr-Cyrl-RS"/>
        </w:rPr>
        <w:t>ОПИС И СПЕЦИФИКАЦИЈА ПРЕДМЕТА</w:t>
      </w:r>
    </w:p>
    <w:p w:rsidR="00EF2050" w:rsidRDefault="00EF2050" w:rsidP="00BD2363">
      <w:pPr>
        <w:jc w:val="center"/>
        <w:rPr>
          <w:szCs w:val="24"/>
          <w:lang w:val="sr-Cyrl-RS"/>
        </w:rPr>
      </w:pPr>
    </w:p>
    <w:p w:rsidR="00F40090" w:rsidRPr="0014151D" w:rsidRDefault="00F40090" w:rsidP="00F40090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F40090" w:rsidRPr="0014151D" w:rsidRDefault="00F40090" w:rsidP="00F40090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F40090" w:rsidRPr="0014151D" w:rsidRDefault="00F40090" w:rsidP="00F40090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F40090" w:rsidRPr="0014151D" w:rsidRDefault="00F40090" w:rsidP="00F40090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>
        <w:fldChar w:fldCharType="begin"/>
      </w:r>
      <w:r>
        <w:instrText xml:space="preserve"> HYPERLINK "http://www.vudedinje.com" </w:instrText>
      </w:r>
      <w:r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F40090" w:rsidRPr="0014151D" w:rsidRDefault="00F40090" w:rsidP="00F4009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F40090" w:rsidRPr="00882616" w:rsidRDefault="00F40090" w:rsidP="00F4009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F40090" w:rsidRDefault="00F40090" w:rsidP="00F40090">
      <w:pPr>
        <w:jc w:val="both"/>
        <w:rPr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>
        <w:rPr>
          <w:rFonts w:eastAsia="Times New Roman" w:cs="Times New Roman"/>
          <w:szCs w:val="24"/>
          <w:lang w:val="sr-Cyrl-RS"/>
        </w:rPr>
        <w:t>002</w:t>
      </w:r>
      <w:r w:rsidR="006219D0"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6219D0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>
        <w:rPr>
          <w:lang w:val="sr-Cyrl-RS"/>
        </w:rPr>
        <w:t>Основно ђубриво за јесењу сетву</w:t>
      </w:r>
      <w:r w:rsidRPr="0094438C">
        <w:rPr>
          <w:lang w:val="sr-Cyrl-RS"/>
        </w:rPr>
        <w:t xml:space="preserve"> </w:t>
      </w:r>
      <w:r>
        <w:rPr>
          <w:lang w:val="sr-Cyrl-RS"/>
        </w:rPr>
        <w:t>з</w:t>
      </w:r>
      <w:r w:rsidRPr="0094438C">
        <w:rPr>
          <w:lang w:val="sr-Cyrl-RS"/>
        </w:rPr>
        <w:t>а потребе</w:t>
      </w:r>
      <w:r>
        <w:rPr>
          <w:lang w:val="sr-Cyrl-RS"/>
        </w:rPr>
        <w:t xml:space="preserve"> пољопривредне производње, обликовано у 2 (две) партије</w:t>
      </w:r>
    </w:p>
    <w:p w:rsidR="00F40090" w:rsidRDefault="00F40090" w:rsidP="00F40090">
      <w:pPr>
        <w:jc w:val="both"/>
        <w:rPr>
          <w:lang w:val="sr-Cyrl-RS"/>
        </w:rPr>
      </w:pPr>
      <w:r>
        <w:rPr>
          <w:lang w:val="sr-Cyrl-RS"/>
        </w:rPr>
        <w:t xml:space="preserve">Партија 2: </w:t>
      </w:r>
      <w:r w:rsidR="006219D0">
        <w:rPr>
          <w:lang w:val="sr-Cyrl-RS"/>
        </w:rPr>
        <w:t>Ђ</w:t>
      </w:r>
      <w:r>
        <w:rPr>
          <w:lang w:val="sr-Cyrl-RS"/>
        </w:rPr>
        <w:t>убриво за потребе економије Сомбор</w:t>
      </w:r>
    </w:p>
    <w:p w:rsidR="00F40090" w:rsidRPr="001C07F5" w:rsidRDefault="00F40090" w:rsidP="00F40090">
      <w:pPr>
        <w:jc w:val="both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F40090" w:rsidRPr="00882616" w:rsidRDefault="00F40090" w:rsidP="00F40090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F40090" w:rsidRPr="00EB3C16" w:rsidRDefault="00F40090" w:rsidP="00F40090">
      <w:pPr>
        <w:jc w:val="both"/>
        <w:rPr>
          <w:lang w:val="ru-RU"/>
        </w:rPr>
      </w:pPr>
      <w:r w:rsidRPr="00EB3C16">
        <w:rPr>
          <w:bCs/>
        </w:rPr>
        <w:t>24400000</w:t>
      </w:r>
      <w:r w:rsidRPr="00EB3C16">
        <w:rPr>
          <w:bCs/>
          <w:lang w:val="sr-Cyrl-CS"/>
        </w:rPr>
        <w:t xml:space="preserve"> </w:t>
      </w:r>
      <w:r>
        <w:rPr>
          <w:bCs/>
          <w:lang w:val="sr-Cyrl-CS"/>
        </w:rPr>
        <w:t xml:space="preserve">- </w:t>
      </w:r>
      <w:r w:rsidRPr="00EB3C16">
        <w:rPr>
          <w:bCs/>
        </w:rPr>
        <w:t>ђубриво и азотна једињења</w:t>
      </w:r>
    </w:p>
    <w:p w:rsidR="00F40090" w:rsidRDefault="00F40090" w:rsidP="00F40090">
      <w:pPr>
        <w:rPr>
          <w:rFonts w:eastAsia="Times New Roman" w:cs="Times New Roman"/>
          <w:szCs w:val="20"/>
          <w:lang w:val="sr-Cyrl-RS"/>
        </w:rPr>
      </w:pPr>
    </w:p>
    <w:p w:rsidR="00F40090" w:rsidRPr="0014151D" w:rsidRDefault="00F40090" w:rsidP="00F40090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F40090" w:rsidRPr="001C07F5" w:rsidRDefault="00F40090" w:rsidP="00F40090">
      <w:pPr>
        <w:jc w:val="both"/>
        <w:rPr>
          <w:rFonts w:eastAsia="Times New Roman" w:cs="Times New Roman"/>
          <w:szCs w:val="20"/>
          <w:lang w:val="ru-RU"/>
        </w:rPr>
      </w:pPr>
      <w:r>
        <w:rPr>
          <w:rFonts w:eastAsia="Times New Roman" w:cs="Times New Roman"/>
          <w:szCs w:val="20"/>
          <w:lang w:val="sr-Cyrl-RS"/>
        </w:rPr>
        <w:t xml:space="preserve">Партија 1: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6219D0">
        <w:rPr>
          <w:rFonts w:eastAsia="Times New Roman" w:cs="Times New Roman"/>
          <w:szCs w:val="20"/>
          <w:lang w:val="sr-Cyrl-RS"/>
        </w:rPr>
        <w:t>10</w:t>
      </w:r>
      <w:r>
        <w:rPr>
          <w:rFonts w:eastAsia="Times New Roman" w:cs="Times New Roman"/>
          <w:szCs w:val="20"/>
          <w:lang w:val="sr-Cyrl-RS"/>
        </w:rPr>
        <w:t>.</w:t>
      </w:r>
      <w:r w:rsidR="006219D0">
        <w:rPr>
          <w:rFonts w:eastAsia="Times New Roman" w:cs="Times New Roman"/>
          <w:szCs w:val="20"/>
          <w:lang w:val="sr-Cyrl-RS"/>
        </w:rPr>
        <w:t>062</w:t>
      </w:r>
      <w:r>
        <w:rPr>
          <w:rFonts w:eastAsia="Times New Roman" w:cs="Times New Roman"/>
          <w:szCs w:val="20"/>
          <w:lang w:val="sr-Cyrl-RS"/>
        </w:rPr>
        <w:t xml:space="preserve">.000,00 </w:t>
      </w:r>
      <w:r w:rsidRPr="0014151D">
        <w:rPr>
          <w:rFonts w:eastAsia="Times New Roman" w:cs="Times New Roman"/>
          <w:szCs w:val="20"/>
          <w:lang w:val="en-US"/>
        </w:rPr>
        <w:t xml:space="preserve">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F40090" w:rsidRPr="00882616" w:rsidRDefault="00F40090" w:rsidP="00F40090">
      <w:pPr>
        <w:jc w:val="both"/>
        <w:rPr>
          <w:rFonts w:eastAsia="Times New Roman" w:cs="Times New Roman"/>
          <w:szCs w:val="20"/>
          <w:lang w:val="sr-Cyrl-RS"/>
        </w:rPr>
      </w:pPr>
    </w:p>
    <w:p w:rsidR="00F40090" w:rsidRPr="00882616" w:rsidRDefault="00F40090" w:rsidP="00F4009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F40090" w:rsidRDefault="00F40090" w:rsidP="00F4009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F40090" w:rsidRPr="00882616" w:rsidRDefault="00F40090" w:rsidP="00F40090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F40090" w:rsidRPr="00882616" w:rsidRDefault="00F40090" w:rsidP="00F40090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F40090" w:rsidRPr="00A9583F" w:rsidRDefault="00F40090" w:rsidP="00F40090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F40090" w:rsidRDefault="00F40090" w:rsidP="00F40090">
      <w:pPr>
        <w:jc w:val="both"/>
        <w:rPr>
          <w:rFonts w:eastAsia="Times New Roman" w:cs="Times New Roman"/>
          <w:szCs w:val="24"/>
          <w:lang w:val="sr-Cyrl-RS"/>
        </w:rPr>
      </w:pPr>
    </w:p>
    <w:p w:rsidR="00F40090" w:rsidRPr="00986079" w:rsidRDefault="00F40090" w:rsidP="00F40090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F40090" w:rsidRPr="00986079" w:rsidRDefault="00F40090" w:rsidP="00F40090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>
        <w:rPr>
          <w:rFonts w:eastAsia="Times New Roman" w:cs="Times New Roman"/>
          <w:szCs w:val="20"/>
        </w:rPr>
        <w:t xml:space="preserve">email : </w:t>
      </w:r>
      <w:hyperlink r:id="rId6" w:history="1">
        <w:r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F40090" w:rsidRDefault="00F40090" w:rsidP="00F40090">
      <w:pPr>
        <w:jc w:val="both"/>
        <w:rPr>
          <w:rFonts w:eastAsia="Times New Roman" w:cs="Times New Roman"/>
          <w:szCs w:val="24"/>
          <w:lang w:val="sr-Cyrl-RS"/>
        </w:rPr>
      </w:pPr>
    </w:p>
    <w:p w:rsidR="00F40090" w:rsidRPr="009404BC" w:rsidRDefault="00F40090" w:rsidP="00F40090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Испоручена добра морају бити у складу са свим важећим прописима који регулишу производњу и промет предметних добара на територији Републике Србије, а посебно:</w:t>
      </w:r>
    </w:p>
    <w:p w:rsidR="00F40090" w:rsidRPr="009404BC" w:rsidRDefault="00F40090" w:rsidP="00F40090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40090" w:rsidRPr="009404BC" w:rsidRDefault="00F40090" w:rsidP="00F40090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Да је понуђач регистрован у одговарајућем Регистру дистрибутера и увозника средстава за исхрану биља, у складу са законом.</w:t>
      </w:r>
    </w:p>
    <w:p w:rsidR="00F40090" w:rsidRPr="009404BC" w:rsidRDefault="00F40090" w:rsidP="00F40090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40090" w:rsidRPr="009404BC" w:rsidRDefault="00F40090" w:rsidP="00F40090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Да се производ који се нуди налази на Списку средстава за исхрану биља којима је дозвољено стављање у промет у Републици Србији (доказује се приликом испоруке – декларацијом уз отпремницу).</w:t>
      </w:r>
    </w:p>
    <w:p w:rsidR="00F40090" w:rsidRPr="009404BC" w:rsidRDefault="00F40090" w:rsidP="00F40090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40090" w:rsidRDefault="00F40090" w:rsidP="00F40090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Паковање за ВЕ „</w:t>
      </w:r>
      <w:r w:rsidR="00EA6B05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Сомбор</w:t>
      </w: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“: </w:t>
      </w:r>
      <w:r w:rsidR="00EA6B05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џамбо вреће од 500 или више килограма или палетирано</w:t>
      </w: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</w:t>
      </w:r>
    </w:p>
    <w:p w:rsidR="00E116B0" w:rsidRPr="009404BC" w:rsidRDefault="00E116B0" w:rsidP="00F40090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40090" w:rsidRPr="009404BC" w:rsidRDefault="00F40090" w:rsidP="00F40090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Састав минералног ђубрива мора бити гарантован декларацијом која ће се </w:t>
      </w:r>
      <w:r w:rsidR="00D36932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до</w:t>
      </w:r>
      <w:bookmarkStart w:id="0" w:name="_GoBack"/>
      <w:bookmarkEnd w:id="0"/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стављати уз отпремницу приликом испоруке.</w:t>
      </w:r>
    </w:p>
    <w:p w:rsidR="00F40090" w:rsidRPr="009404BC" w:rsidRDefault="00F40090" w:rsidP="00F40090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40090" w:rsidRPr="009404BC" w:rsidRDefault="00F40090" w:rsidP="00F40090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Минерално ђубриво треба да буде упаковано у </w:t>
      </w:r>
      <w:r w:rsidRPr="009404BC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PVC </w:t>
      </w: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џакове у оригиналној неоштећеној амбалажи и на начин који је прописан за одговарајући превоз ове врсте добара и мора бити заштићено од делимичног или потпуног губитка или оштећења при датим условима утовара, транспорта, претовара и ускладиштења. </w:t>
      </w:r>
    </w:p>
    <w:p w:rsidR="00F40090" w:rsidRPr="009404BC" w:rsidRDefault="00F40090" w:rsidP="00F40090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40090" w:rsidRPr="009404BC" w:rsidRDefault="00F40090" w:rsidP="00F40090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На добрима мора бити означен: произвођач, нето количина, састав, датум производње и начин чувања.</w:t>
      </w:r>
    </w:p>
    <w:p w:rsidR="00F40090" w:rsidRPr="009404BC" w:rsidRDefault="00F40090" w:rsidP="00F40090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834794" w:rsidRPr="009404BC" w:rsidRDefault="00834794" w:rsidP="00834794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  <w:lastRenderedPageBreak/>
        <w:t>Рок испоруке</w:t>
      </w:r>
      <w:r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је одмах по закључењу уговора, оквирно: од 01.11.2022. године, најкасније до 15</w:t>
      </w: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</w:t>
      </w:r>
      <w:r>
        <w:rPr>
          <w:rFonts w:eastAsia="Arial Unicode MS" w:cs="Times New Roman"/>
          <w:color w:val="000000"/>
          <w:kern w:val="1"/>
          <w:szCs w:val="24"/>
          <w:lang w:val="sr-Cyrl-CS" w:eastAsia="ar-SA"/>
        </w:rPr>
        <w:t>11</w:t>
      </w: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.202</w:t>
      </w:r>
      <w:r>
        <w:rPr>
          <w:rFonts w:eastAsia="Arial Unicode MS" w:cs="Times New Roman"/>
          <w:color w:val="000000"/>
          <w:kern w:val="1"/>
          <w:szCs w:val="24"/>
          <w:lang w:val="sr-Cyrl-CS" w:eastAsia="ar-SA"/>
        </w:rPr>
        <w:t>2</w:t>
      </w: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 године.</w:t>
      </w:r>
    </w:p>
    <w:p w:rsidR="00834794" w:rsidRDefault="00834794" w:rsidP="00F40090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17551B" w:rsidRDefault="0017551B" w:rsidP="00F40090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>
        <w:rPr>
          <w:rFonts w:eastAsia="Arial Unicode MS" w:cs="Times New Roman"/>
          <w:color w:val="000000"/>
          <w:kern w:val="1"/>
          <w:szCs w:val="24"/>
          <w:lang w:val="sr-Cyrl-CS" w:eastAsia="ar-SA"/>
        </w:rPr>
        <w:t>Спецификација добара:</w:t>
      </w:r>
    </w:p>
    <w:p w:rsidR="00E824EF" w:rsidRDefault="00E824EF" w:rsidP="00F40090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850"/>
        <w:gridCol w:w="992"/>
        <w:gridCol w:w="1560"/>
        <w:gridCol w:w="1672"/>
      </w:tblGrid>
      <w:tr w:rsidR="00E824EF" w:rsidRPr="00E824EF" w:rsidTr="007E2504">
        <w:trPr>
          <w:trHeight w:val="151"/>
        </w:trPr>
        <w:tc>
          <w:tcPr>
            <w:tcW w:w="709" w:type="dxa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color w:val="000000"/>
                <w:kern w:val="1"/>
                <w:sz w:val="22"/>
                <w:lang w:val="sr-Cyrl-CS" w:eastAsia="ar-SA"/>
              </w:rPr>
            </w:pPr>
            <w:r w:rsidRPr="00E824EF">
              <w:rPr>
                <w:rFonts w:eastAsia="Arial Unicode MS" w:cs="Times New Roman"/>
                <w:b/>
                <w:bCs/>
                <w:color w:val="000000"/>
                <w:kern w:val="1"/>
                <w:sz w:val="22"/>
                <w:lang w:val="sr-Cyrl-CS" w:eastAsia="ar-SA"/>
              </w:rPr>
              <w:t>Ред. број</w:t>
            </w:r>
          </w:p>
        </w:tc>
        <w:tc>
          <w:tcPr>
            <w:tcW w:w="3573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color w:val="000000"/>
                <w:kern w:val="1"/>
                <w:sz w:val="22"/>
                <w:lang w:val="sr-Cyrl-CS" w:eastAsia="ar-SA"/>
              </w:rPr>
            </w:pPr>
            <w:r w:rsidRPr="00E824EF">
              <w:rPr>
                <w:rFonts w:eastAsia="Arial Unicode MS" w:cs="Times New Roman"/>
                <w:b/>
                <w:bCs/>
                <w:color w:val="000000"/>
                <w:kern w:val="1"/>
                <w:sz w:val="22"/>
                <w:lang w:val="sr-Cyrl-CS" w:eastAsia="ar-SA"/>
              </w:rPr>
              <w:t>НАЗИВ</w:t>
            </w:r>
          </w:p>
        </w:tc>
        <w:tc>
          <w:tcPr>
            <w:tcW w:w="850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color w:val="000000"/>
                <w:kern w:val="1"/>
                <w:sz w:val="22"/>
                <w:lang w:val="sr-Cyrl-RS" w:eastAsia="ar-SA"/>
              </w:rPr>
            </w:pPr>
            <w:r w:rsidRPr="00E824EF">
              <w:rPr>
                <w:rFonts w:eastAsia="Arial Unicode MS" w:cs="Times New Roman"/>
                <w:b/>
                <w:bCs/>
                <w:color w:val="000000"/>
                <w:kern w:val="1"/>
                <w:sz w:val="22"/>
                <w:lang w:val="sr-Cyrl-RS" w:eastAsia="ar-SA"/>
              </w:rPr>
              <w:t>Јед. мере</w:t>
            </w:r>
          </w:p>
        </w:tc>
        <w:tc>
          <w:tcPr>
            <w:tcW w:w="992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color w:val="000000"/>
                <w:kern w:val="1"/>
                <w:sz w:val="22"/>
                <w:lang w:val="sr-Cyrl-RS" w:eastAsia="ar-SA"/>
              </w:rPr>
            </w:pPr>
            <w:r w:rsidRPr="00E824EF">
              <w:rPr>
                <w:rFonts w:eastAsia="Arial Unicode MS" w:cs="Times New Roman"/>
                <w:b/>
                <w:color w:val="000000"/>
                <w:kern w:val="1"/>
                <w:sz w:val="22"/>
                <w:lang w:val="sr-Cyrl-RS" w:eastAsia="ar-SA"/>
              </w:rPr>
              <w:t>Колич.</w:t>
            </w:r>
          </w:p>
        </w:tc>
        <w:tc>
          <w:tcPr>
            <w:tcW w:w="1560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color w:val="000000"/>
                <w:kern w:val="1"/>
                <w:sz w:val="22"/>
                <w:lang w:val="sr-Cyrl-RS" w:eastAsia="ar-SA"/>
              </w:rPr>
            </w:pPr>
            <w:r w:rsidRPr="00E824EF">
              <w:rPr>
                <w:rFonts w:eastAsia="Arial Unicode MS" w:cs="Times New Roman"/>
                <w:b/>
                <w:color w:val="000000"/>
                <w:kern w:val="1"/>
                <w:sz w:val="22"/>
                <w:lang w:val="sr-Cyrl-RS" w:eastAsia="ar-SA"/>
              </w:rPr>
              <w:t>Цена по јед. мере без ПДВ-а</w:t>
            </w:r>
          </w:p>
        </w:tc>
        <w:tc>
          <w:tcPr>
            <w:tcW w:w="1672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color w:val="000000"/>
                <w:kern w:val="1"/>
                <w:sz w:val="22"/>
                <w:lang w:val="sr-Cyrl-RS" w:eastAsia="ar-SA"/>
              </w:rPr>
            </w:pPr>
            <w:r w:rsidRPr="00E824EF">
              <w:rPr>
                <w:rFonts w:eastAsia="Arial Unicode MS" w:cs="Times New Roman"/>
                <w:b/>
                <w:color w:val="000000"/>
                <w:kern w:val="1"/>
                <w:sz w:val="22"/>
                <w:lang w:val="sr-Cyrl-RS" w:eastAsia="ar-SA"/>
              </w:rPr>
              <w:t xml:space="preserve">Укупна цена </w:t>
            </w:r>
          </w:p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color w:val="000000"/>
                <w:kern w:val="1"/>
                <w:sz w:val="22"/>
                <w:lang w:val="sr-Cyrl-RS" w:eastAsia="ar-SA"/>
              </w:rPr>
            </w:pPr>
            <w:r w:rsidRPr="00E824EF">
              <w:rPr>
                <w:rFonts w:eastAsia="Arial Unicode MS" w:cs="Times New Roman"/>
                <w:b/>
                <w:color w:val="000000"/>
                <w:kern w:val="1"/>
                <w:sz w:val="22"/>
                <w:lang w:val="sr-Cyrl-RS" w:eastAsia="ar-SA"/>
              </w:rPr>
              <w:t>без ПДВ-а</w:t>
            </w:r>
          </w:p>
        </w:tc>
      </w:tr>
      <w:tr w:rsidR="00E824EF" w:rsidRPr="00E824EF" w:rsidTr="007E2504">
        <w:trPr>
          <w:trHeight w:val="151"/>
        </w:trPr>
        <w:tc>
          <w:tcPr>
            <w:tcW w:w="709" w:type="dxa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color w:val="000000"/>
                <w:kern w:val="1"/>
                <w:sz w:val="16"/>
                <w:szCs w:val="16"/>
                <w:lang w:val="sr-Cyrl-CS" w:eastAsia="ar-SA"/>
              </w:rPr>
            </w:pPr>
            <w:r w:rsidRPr="00E824EF">
              <w:rPr>
                <w:rFonts w:eastAsia="Arial Unicode MS" w:cs="Times New Roman"/>
                <w:bCs/>
                <w:color w:val="000000"/>
                <w:kern w:val="1"/>
                <w:sz w:val="16"/>
                <w:szCs w:val="16"/>
                <w:lang w:val="sr-Cyrl-CS" w:eastAsia="ar-SA"/>
              </w:rPr>
              <w:t>1.</w:t>
            </w:r>
          </w:p>
        </w:tc>
        <w:tc>
          <w:tcPr>
            <w:tcW w:w="3573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color w:val="000000"/>
                <w:kern w:val="1"/>
                <w:sz w:val="16"/>
                <w:szCs w:val="16"/>
                <w:lang w:val="sr-Cyrl-CS" w:eastAsia="ar-SA"/>
              </w:rPr>
            </w:pPr>
            <w:r w:rsidRPr="00E824EF">
              <w:rPr>
                <w:rFonts w:eastAsia="Arial Unicode MS" w:cs="Times New Roman"/>
                <w:bCs/>
                <w:color w:val="000000"/>
                <w:kern w:val="1"/>
                <w:sz w:val="16"/>
                <w:szCs w:val="16"/>
                <w:lang w:val="sr-Cyrl-CS" w:eastAsia="ar-SA"/>
              </w:rPr>
              <w:t>2.</w:t>
            </w:r>
          </w:p>
        </w:tc>
        <w:tc>
          <w:tcPr>
            <w:tcW w:w="850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color w:val="000000"/>
                <w:kern w:val="1"/>
                <w:sz w:val="16"/>
                <w:szCs w:val="16"/>
                <w:lang w:val="sr-Cyrl-RS" w:eastAsia="ar-SA"/>
              </w:rPr>
            </w:pPr>
            <w:r w:rsidRPr="00E824EF">
              <w:rPr>
                <w:rFonts w:eastAsia="Arial Unicode MS" w:cs="Times New Roman"/>
                <w:bCs/>
                <w:color w:val="000000"/>
                <w:kern w:val="1"/>
                <w:sz w:val="16"/>
                <w:szCs w:val="16"/>
                <w:lang w:val="sr-Cyrl-RS" w:eastAsia="ar-SA"/>
              </w:rPr>
              <w:t>3.</w:t>
            </w:r>
          </w:p>
        </w:tc>
        <w:tc>
          <w:tcPr>
            <w:tcW w:w="992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16"/>
                <w:szCs w:val="16"/>
                <w:lang w:val="sr-Cyrl-RS" w:eastAsia="ar-SA"/>
              </w:rPr>
            </w:pPr>
            <w:r w:rsidRPr="00E824EF">
              <w:rPr>
                <w:rFonts w:eastAsia="Arial Unicode MS" w:cs="Times New Roman"/>
                <w:color w:val="000000"/>
                <w:kern w:val="1"/>
                <w:sz w:val="16"/>
                <w:szCs w:val="16"/>
                <w:lang w:val="sr-Cyrl-RS" w:eastAsia="ar-SA"/>
              </w:rPr>
              <w:t>4.</w:t>
            </w:r>
          </w:p>
        </w:tc>
        <w:tc>
          <w:tcPr>
            <w:tcW w:w="1560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16"/>
                <w:szCs w:val="16"/>
                <w:lang w:val="sr-Cyrl-RS" w:eastAsia="ar-SA"/>
              </w:rPr>
            </w:pPr>
            <w:r w:rsidRPr="00E824EF">
              <w:rPr>
                <w:rFonts w:eastAsia="Arial Unicode MS" w:cs="Times New Roman"/>
                <w:color w:val="000000"/>
                <w:kern w:val="1"/>
                <w:sz w:val="16"/>
                <w:szCs w:val="16"/>
                <w:lang w:val="sr-Cyrl-RS" w:eastAsia="ar-SA"/>
              </w:rPr>
              <w:t>5.</w:t>
            </w:r>
          </w:p>
        </w:tc>
        <w:tc>
          <w:tcPr>
            <w:tcW w:w="1672" w:type="dxa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16"/>
                <w:szCs w:val="16"/>
                <w:lang w:val="sr-Cyrl-RS" w:eastAsia="ar-SA"/>
              </w:rPr>
            </w:pPr>
            <w:r w:rsidRPr="00E824EF">
              <w:rPr>
                <w:rFonts w:eastAsia="Arial Unicode MS" w:cs="Times New Roman"/>
                <w:color w:val="000000"/>
                <w:kern w:val="1"/>
                <w:sz w:val="16"/>
                <w:szCs w:val="16"/>
                <w:lang w:val="sr-Cyrl-RS" w:eastAsia="ar-SA"/>
              </w:rPr>
              <w:t>6.</w:t>
            </w:r>
          </w:p>
        </w:tc>
      </w:tr>
      <w:tr w:rsidR="00E824EF" w:rsidRPr="00E824EF" w:rsidTr="007E2504">
        <w:trPr>
          <w:trHeight w:val="397"/>
        </w:trPr>
        <w:tc>
          <w:tcPr>
            <w:tcW w:w="709" w:type="dxa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</w:pPr>
          </w:p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</w:pPr>
            <w:r w:rsidRPr="00E824EF"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  <w:t>1.</w:t>
            </w:r>
          </w:p>
        </w:tc>
        <w:tc>
          <w:tcPr>
            <w:tcW w:w="3573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rPr>
                <w:rFonts w:eastAsia="Arial Unicode MS" w:cs="Times New Roman"/>
                <w:bCs/>
                <w:color w:val="000000"/>
                <w:kern w:val="1"/>
                <w:sz w:val="22"/>
                <w:lang w:val="sr-Cyrl-RS" w:eastAsia="ar-SA"/>
              </w:rPr>
            </w:pPr>
            <w:r w:rsidRPr="00E824EF"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  <w:t xml:space="preserve">Основно минерално ђубриво формулације НПК 16:16:16 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color w:val="000000"/>
                <w:kern w:val="1"/>
                <w:sz w:val="22"/>
                <w:lang w:val="sr-Cyrl-RS" w:eastAsia="ar-SA"/>
              </w:rPr>
            </w:pPr>
            <w:r w:rsidRPr="00E824EF">
              <w:rPr>
                <w:rFonts w:eastAsia="Arial Unicode MS" w:cs="Times New Roman"/>
                <w:bCs/>
                <w:color w:val="000000"/>
                <w:kern w:val="1"/>
                <w:sz w:val="22"/>
                <w:lang w:val="sr-Cyrl-RS" w:eastAsia="ar-SA"/>
              </w:rPr>
              <w:t>кг</w:t>
            </w:r>
          </w:p>
        </w:tc>
        <w:tc>
          <w:tcPr>
            <w:tcW w:w="992" w:type="dxa"/>
            <w:shd w:val="clear" w:color="auto" w:fill="FFFFFF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RS" w:eastAsia="ar-SA"/>
              </w:rPr>
            </w:pPr>
          </w:p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RS" w:eastAsia="ar-SA"/>
              </w:rPr>
            </w:pPr>
            <w:r w:rsidRPr="00E824EF">
              <w:rPr>
                <w:rFonts w:eastAsia="Arial Unicode MS" w:cs="Times New Roman"/>
                <w:color w:val="000000"/>
                <w:kern w:val="1"/>
                <w:sz w:val="22"/>
                <w:lang w:val="sr-Cyrl-RS" w:eastAsia="ar-SA"/>
              </w:rPr>
              <w:t>72.000</w:t>
            </w:r>
          </w:p>
        </w:tc>
        <w:tc>
          <w:tcPr>
            <w:tcW w:w="1560" w:type="dxa"/>
            <w:shd w:val="clear" w:color="auto" w:fill="FFFFFF"/>
          </w:tcPr>
          <w:p w:rsidR="00E824EF" w:rsidRPr="00E824EF" w:rsidRDefault="00E824EF" w:rsidP="00E824EF">
            <w:pPr>
              <w:suppressAutoHyphens/>
              <w:spacing w:line="100" w:lineRule="atLeast"/>
              <w:jc w:val="both"/>
              <w:rPr>
                <w:rFonts w:eastAsia="Arial Unicode MS" w:cs="Times New Roman"/>
                <w:color w:val="000000"/>
                <w:kern w:val="1"/>
                <w:sz w:val="22"/>
                <w:lang w:val="sl-SI" w:eastAsia="ar-SA"/>
              </w:rPr>
            </w:pPr>
          </w:p>
        </w:tc>
        <w:tc>
          <w:tcPr>
            <w:tcW w:w="1672" w:type="dxa"/>
            <w:shd w:val="clear" w:color="auto" w:fill="FFFFFF"/>
          </w:tcPr>
          <w:p w:rsidR="00E824EF" w:rsidRPr="00E824EF" w:rsidRDefault="00E824EF" w:rsidP="00E824EF">
            <w:pPr>
              <w:suppressAutoHyphens/>
              <w:spacing w:line="100" w:lineRule="atLeast"/>
              <w:jc w:val="both"/>
              <w:rPr>
                <w:rFonts w:eastAsia="Arial Unicode MS" w:cs="Times New Roman"/>
                <w:color w:val="000000"/>
                <w:kern w:val="1"/>
                <w:sz w:val="22"/>
                <w:lang w:val="sl-SI" w:eastAsia="ar-SA"/>
              </w:rPr>
            </w:pPr>
          </w:p>
        </w:tc>
      </w:tr>
      <w:tr w:rsidR="00E824EF" w:rsidRPr="00E824EF" w:rsidTr="007E2504">
        <w:trPr>
          <w:trHeight w:val="397"/>
        </w:trPr>
        <w:tc>
          <w:tcPr>
            <w:tcW w:w="709" w:type="dxa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</w:pPr>
          </w:p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</w:pPr>
            <w:r w:rsidRPr="00E824EF"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  <w:t>2.</w:t>
            </w:r>
          </w:p>
        </w:tc>
        <w:tc>
          <w:tcPr>
            <w:tcW w:w="3573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rPr>
                <w:rFonts w:eastAsia="Arial Unicode MS" w:cs="Times New Roman"/>
                <w:bCs/>
                <w:color w:val="000000"/>
                <w:kern w:val="1"/>
                <w:sz w:val="22"/>
                <w:lang w:val="sr-Cyrl-RS" w:eastAsia="ar-SA"/>
              </w:rPr>
            </w:pPr>
            <w:r w:rsidRPr="00E824EF"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  <w:t>Комплексно минерално ђубриво са високим садржајем азота од 46%</w:t>
            </w:r>
          </w:p>
        </w:tc>
        <w:tc>
          <w:tcPr>
            <w:tcW w:w="850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color w:val="000000"/>
                <w:kern w:val="1"/>
                <w:sz w:val="22"/>
                <w:lang w:val="sr-Cyrl-RS" w:eastAsia="ar-SA"/>
              </w:rPr>
            </w:pPr>
            <w:r w:rsidRPr="00E824EF">
              <w:rPr>
                <w:rFonts w:eastAsia="Arial Unicode MS" w:cs="Times New Roman"/>
                <w:bCs/>
                <w:color w:val="000000"/>
                <w:kern w:val="1"/>
                <w:sz w:val="22"/>
                <w:lang w:val="sr-Cyrl-RS" w:eastAsia="ar-SA"/>
              </w:rPr>
              <w:t>кг</w:t>
            </w:r>
          </w:p>
        </w:tc>
        <w:tc>
          <w:tcPr>
            <w:tcW w:w="992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RS" w:eastAsia="ar-SA"/>
              </w:rPr>
            </w:pPr>
          </w:p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RS" w:eastAsia="ar-SA"/>
              </w:rPr>
            </w:pPr>
            <w:r w:rsidRPr="00E824EF">
              <w:rPr>
                <w:rFonts w:eastAsia="Arial Unicode MS" w:cs="Times New Roman"/>
                <w:color w:val="000000"/>
                <w:kern w:val="1"/>
                <w:sz w:val="22"/>
                <w:lang w:val="sr-Cyrl-RS" w:eastAsia="ar-SA"/>
              </w:rPr>
              <w:t>27.000</w:t>
            </w:r>
          </w:p>
        </w:tc>
        <w:tc>
          <w:tcPr>
            <w:tcW w:w="1560" w:type="dxa"/>
            <w:vAlign w:val="center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l-SI" w:eastAsia="ar-SA"/>
              </w:rPr>
            </w:pPr>
          </w:p>
        </w:tc>
        <w:tc>
          <w:tcPr>
            <w:tcW w:w="1672" w:type="dxa"/>
          </w:tcPr>
          <w:p w:rsidR="00E824EF" w:rsidRPr="00E824EF" w:rsidRDefault="00E824EF" w:rsidP="00E824EF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l-SI" w:eastAsia="ar-SA"/>
              </w:rPr>
            </w:pPr>
          </w:p>
        </w:tc>
      </w:tr>
    </w:tbl>
    <w:p w:rsidR="00E824EF" w:rsidRPr="009404BC" w:rsidRDefault="00E824EF" w:rsidP="00F40090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F40090" w:rsidRDefault="00F40090" w:rsidP="00F40090">
      <w:pPr>
        <w:jc w:val="both"/>
        <w:rPr>
          <w:szCs w:val="24"/>
          <w:lang w:val="sr-Cyrl-RS"/>
        </w:rPr>
      </w:pPr>
    </w:p>
    <w:p w:rsidR="0019253D" w:rsidRDefault="0019253D" w:rsidP="00F40090">
      <w:pPr>
        <w:jc w:val="both"/>
        <w:rPr>
          <w:szCs w:val="24"/>
          <w:lang w:val="sr-Cyrl-RS"/>
        </w:rPr>
      </w:pPr>
    </w:p>
    <w:sectPr w:rsidR="0019253D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B65DE"/>
    <w:rsid w:val="0017551B"/>
    <w:rsid w:val="0019253D"/>
    <w:rsid w:val="00334740"/>
    <w:rsid w:val="00430D9A"/>
    <w:rsid w:val="00465A27"/>
    <w:rsid w:val="004C5A05"/>
    <w:rsid w:val="00544DE0"/>
    <w:rsid w:val="006219D0"/>
    <w:rsid w:val="0066588D"/>
    <w:rsid w:val="00834794"/>
    <w:rsid w:val="00843F7B"/>
    <w:rsid w:val="00876A82"/>
    <w:rsid w:val="00912A3A"/>
    <w:rsid w:val="009404BC"/>
    <w:rsid w:val="009A317C"/>
    <w:rsid w:val="00A4492C"/>
    <w:rsid w:val="00A86EC2"/>
    <w:rsid w:val="00AA61BA"/>
    <w:rsid w:val="00AF0053"/>
    <w:rsid w:val="00BB22EC"/>
    <w:rsid w:val="00BD2363"/>
    <w:rsid w:val="00C05928"/>
    <w:rsid w:val="00C94927"/>
    <w:rsid w:val="00CF5027"/>
    <w:rsid w:val="00D36932"/>
    <w:rsid w:val="00DB01F7"/>
    <w:rsid w:val="00E116B0"/>
    <w:rsid w:val="00E16D97"/>
    <w:rsid w:val="00E824EF"/>
    <w:rsid w:val="00EA6B05"/>
    <w:rsid w:val="00ED1A0E"/>
    <w:rsid w:val="00EE659C"/>
    <w:rsid w:val="00EE6908"/>
    <w:rsid w:val="00EF2050"/>
    <w:rsid w:val="00F13558"/>
    <w:rsid w:val="00F40090"/>
    <w:rsid w:val="00F76F5B"/>
    <w:rsid w:val="00FC632E"/>
    <w:rsid w:val="00FC65A0"/>
    <w:rsid w:val="00FD2918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5BD2A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00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ffice@vudedinj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A26AC-C3D1-41A9-BA93-5C51F1E51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38</cp:revision>
  <dcterms:created xsi:type="dcterms:W3CDTF">2020-08-05T12:07:00Z</dcterms:created>
  <dcterms:modified xsi:type="dcterms:W3CDTF">2022-09-13T12:11:00Z</dcterms:modified>
</cp:coreProperties>
</file>