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D630A5">
        <w:rPr>
          <w:rFonts w:eastAsia="Arial" w:cs="Times New Roman"/>
          <w:b/>
          <w:lang w:val="sr-Cyrl-RS"/>
        </w:rPr>
        <w:t>29</w:t>
      </w:r>
      <w:r w:rsidR="001B25EA">
        <w:rPr>
          <w:rFonts w:eastAsia="Arial" w:cs="Times New Roman"/>
          <w:b/>
        </w:rPr>
        <w:t>/202</w:t>
      </w:r>
      <w:r w:rsidR="00C60938">
        <w:rPr>
          <w:rFonts w:eastAsia="Arial" w:cs="Times New Roman"/>
          <w:b/>
          <w:lang w:val="sr-Cyrl-RS"/>
        </w:rPr>
        <w:t>2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D630A5">
        <w:rPr>
          <w:b/>
          <w:lang w:val="ru-RU"/>
        </w:rPr>
        <w:t>Пнеуматици за моторна возила.</w:t>
      </w:r>
      <w:bookmarkStart w:id="0" w:name="_GoBack"/>
      <w:bookmarkEnd w:id="0"/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9E339F"/>
    <w:rsid w:val="00A44290"/>
    <w:rsid w:val="00B75818"/>
    <w:rsid w:val="00C17670"/>
    <w:rsid w:val="00C60938"/>
    <w:rsid w:val="00D442F7"/>
    <w:rsid w:val="00D630A5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CC80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19</cp:revision>
  <cp:lastPrinted>2021-02-23T08:30:00Z</cp:lastPrinted>
  <dcterms:created xsi:type="dcterms:W3CDTF">2021-06-08T07:57:00Z</dcterms:created>
  <dcterms:modified xsi:type="dcterms:W3CDTF">2022-04-29T10:21:00Z</dcterms:modified>
</cp:coreProperties>
</file>