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760549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6244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162443">
        <w:rPr>
          <w:rFonts w:eastAsia="Times New Roman"/>
          <w:color w:val="auto"/>
          <w:kern w:val="0"/>
          <w:lang w:eastAsia="en-US"/>
        </w:rPr>
        <w:t>3</w:t>
      </w:r>
      <w:r>
        <w:rPr>
          <w:rFonts w:eastAsia="Times New Roman"/>
          <w:color w:val="auto"/>
          <w:kern w:val="0"/>
          <w:lang w:val="sr-Cyrl-RS" w:eastAsia="en-US"/>
        </w:rPr>
        <w:t>:</w:t>
      </w:r>
      <w:r w:rsidR="00162443">
        <w:rPr>
          <w:rFonts w:eastAsia="Times New Roman"/>
          <w:color w:val="auto"/>
          <w:kern w:val="0"/>
          <w:lang w:val="sr-Cyrl-RS" w:eastAsia="en-US"/>
        </w:rPr>
        <w:t xml:space="preserve"> Нараменица</w:t>
      </w:r>
      <w:r w:rsidR="00891CC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162443">
        <w:rPr>
          <w:rFonts w:eastAsia="Times New Roman"/>
          <w:color w:val="auto"/>
          <w:kern w:val="0"/>
          <w:lang w:val="sr-Cyrl-RS" w:eastAsia="en-US"/>
        </w:rPr>
        <w:t>(уложак за одела)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16244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3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50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.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3D3D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7A3A80" w:rsidRDefault="007A3A8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064"/>
        <w:gridCol w:w="2339"/>
      </w:tblGrid>
      <w:tr w:rsidR="0038587F" w:rsidRPr="00EE2519" w:rsidTr="00E02799">
        <w:trPr>
          <w:trHeight w:val="5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7A3A8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064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2339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E02799">
        <w:trPr>
          <w:trHeight w:val="2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891CC1" w:rsidP="00927873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RS" w:eastAsia="en-US"/>
              </w:rPr>
              <w:t>Нараменица (уложак за одела)</w:t>
            </w:r>
            <w:r w:rsidR="00DA0E5D">
              <w:rPr>
                <w:rFonts w:eastAsia="Times New Roman"/>
                <w:color w:val="auto"/>
                <w:kern w:val="0"/>
                <w:lang w:val="sr-Cyrl-RS" w:eastAsia="en-US"/>
              </w:rPr>
              <w:t xml:space="preserve"> Л-1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891CC1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пар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92787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1000</w:t>
            </w:r>
          </w:p>
        </w:tc>
      </w:tr>
    </w:tbl>
    <w:p w:rsidR="00C94927" w:rsidRDefault="00C94927" w:rsidP="00005710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A5F23"/>
    <w:rsid w:val="000C006A"/>
    <w:rsid w:val="000C20D9"/>
    <w:rsid w:val="00157473"/>
    <w:rsid w:val="00162443"/>
    <w:rsid w:val="00193989"/>
    <w:rsid w:val="001D4C6A"/>
    <w:rsid w:val="0023052B"/>
    <w:rsid w:val="00314FBF"/>
    <w:rsid w:val="0038587F"/>
    <w:rsid w:val="00386821"/>
    <w:rsid w:val="003952A7"/>
    <w:rsid w:val="003B3EE4"/>
    <w:rsid w:val="003C16F9"/>
    <w:rsid w:val="003C503C"/>
    <w:rsid w:val="003D3DA0"/>
    <w:rsid w:val="0041776F"/>
    <w:rsid w:val="00463F9F"/>
    <w:rsid w:val="00536215"/>
    <w:rsid w:val="00572A0C"/>
    <w:rsid w:val="006830C7"/>
    <w:rsid w:val="006D11B2"/>
    <w:rsid w:val="00740D65"/>
    <w:rsid w:val="00760549"/>
    <w:rsid w:val="007A26C9"/>
    <w:rsid w:val="007A3A80"/>
    <w:rsid w:val="00877A37"/>
    <w:rsid w:val="00891CC1"/>
    <w:rsid w:val="008D6ABD"/>
    <w:rsid w:val="00927873"/>
    <w:rsid w:val="009A1B71"/>
    <w:rsid w:val="009A5AA0"/>
    <w:rsid w:val="00A55E7C"/>
    <w:rsid w:val="00BA4C7F"/>
    <w:rsid w:val="00BB32FA"/>
    <w:rsid w:val="00BE76B1"/>
    <w:rsid w:val="00C7099C"/>
    <w:rsid w:val="00C77ACD"/>
    <w:rsid w:val="00C94927"/>
    <w:rsid w:val="00CC4A8C"/>
    <w:rsid w:val="00CC4AE0"/>
    <w:rsid w:val="00DA0E5D"/>
    <w:rsid w:val="00DB3730"/>
    <w:rsid w:val="00E02799"/>
    <w:rsid w:val="00E2220B"/>
    <w:rsid w:val="00E8461B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4FFA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57</cp:revision>
  <dcterms:created xsi:type="dcterms:W3CDTF">2020-12-17T13:28:00Z</dcterms:created>
  <dcterms:modified xsi:type="dcterms:W3CDTF">2022-03-29T11:22:00Z</dcterms:modified>
</cp:coreProperties>
</file>