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14EBB" w:rsidRDefault="00960B6C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7</w:t>
      </w:r>
      <w:r w:rsidR="00014EBB">
        <w:rPr>
          <w:rFonts w:eastAsia="Times New Roman"/>
          <w:b/>
          <w:color w:val="auto"/>
          <w:lang w:val="sr-Cyrl-RS"/>
        </w:rPr>
        <w:t xml:space="preserve">: </w:t>
      </w:r>
      <w:r>
        <w:rPr>
          <w:rFonts w:eastAsia="Times New Roman"/>
          <w:b/>
          <w:color w:val="auto"/>
          <w:lang w:val="sr-Cyrl-RS"/>
        </w:rPr>
        <w:t>Помоћни материјал за израду одела</w:t>
      </w:r>
    </w:p>
    <w:p w:rsidR="00DA473D" w:rsidRPr="006B6188" w:rsidRDefault="00DA473D" w:rsidP="00DA473D">
      <w:pPr>
        <w:rPr>
          <w:iCs/>
        </w:rPr>
      </w:pPr>
    </w:p>
    <w:p w:rsidR="000203FB" w:rsidRDefault="000203FB" w:rsidP="000203FB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0203FB" w:rsidRDefault="000203FB" w:rsidP="000203FB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0203FB" w:rsidRDefault="000203FB" w:rsidP="000203FB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0203FB" w:rsidRDefault="006856ED" w:rsidP="000203FB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 w:rsidR="000203FB">
        <w:rPr>
          <w:iCs/>
          <w:lang w:val="sr-Cyrl-RS"/>
        </w:rPr>
        <w:t xml:space="preserve">, 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0203FB" w:rsidRDefault="000203FB" w:rsidP="000203FB">
      <w:pPr>
        <w:rPr>
          <w:iCs/>
          <w:lang w:val="sr-Cyrl-RS"/>
        </w:rPr>
      </w:pPr>
    </w:p>
    <w:p w:rsidR="000203FB" w:rsidRDefault="000203FB" w:rsidP="000203FB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0203FB" w:rsidRDefault="000203FB" w:rsidP="000203FB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0203FB" w:rsidRDefault="000203FB" w:rsidP="000203FB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0203FB" w:rsidRDefault="000203FB" w:rsidP="000203FB">
      <w:pPr>
        <w:rPr>
          <w:iCs/>
        </w:rPr>
      </w:pPr>
    </w:p>
    <w:p w:rsidR="000203FB" w:rsidRDefault="000203FB" w:rsidP="000203FB">
      <w:pPr>
        <w:rPr>
          <w:iCs/>
        </w:rPr>
      </w:pPr>
      <w:r>
        <w:rPr>
          <w:iCs/>
        </w:rPr>
        <w:t>Основ уговора: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0203FB" w:rsidRDefault="000203FB" w:rsidP="000203FB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0203FB" w:rsidRDefault="000203FB" w:rsidP="000203FB">
      <w:pPr>
        <w:rPr>
          <w:rFonts w:ascii="Arial" w:hAnsi="Arial" w:cs="Arial"/>
          <w:i/>
          <w:iCs/>
          <w:lang w:val="sr-Cyrl-RS"/>
        </w:rPr>
      </w:pPr>
    </w:p>
    <w:p w:rsidR="000203FB" w:rsidRDefault="000203FB" w:rsidP="000203FB">
      <w:pPr>
        <w:rPr>
          <w:rFonts w:cs="Arial"/>
          <w:i/>
          <w:iCs/>
          <w:lang w:val="sr-Cyrl-RS"/>
        </w:rPr>
      </w:pPr>
    </w:p>
    <w:p w:rsidR="000203FB" w:rsidRDefault="000203FB" w:rsidP="000203FB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C018A0" w:rsidRPr="00C018A0" w:rsidRDefault="000203FB" w:rsidP="00C018A0">
      <w:pPr>
        <w:jc w:val="both"/>
        <w:rPr>
          <w:lang w:val="sr-Cyrl-C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672886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C018A0" w:rsidRPr="00C018A0">
        <w:rPr>
          <w:rFonts w:eastAsia="Times New Roman"/>
          <w:color w:val="auto"/>
          <w:lang w:val="sr-Cyrl-RS"/>
        </w:rPr>
        <w:t>Помоћни материјал за израду одела</w:t>
      </w:r>
      <w:r w:rsidR="00C018A0" w:rsidRPr="00C018A0">
        <w:rPr>
          <w:lang w:val="sr-Cyrl-CS"/>
        </w:rPr>
        <w:t xml:space="preserve"> </w:t>
      </w:r>
    </w:p>
    <w:p w:rsidR="000203FB" w:rsidRDefault="000203FB" w:rsidP="00C018A0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0203FB" w:rsidRDefault="000203FB" w:rsidP="000203FB">
      <w:pPr>
        <w:jc w:val="both"/>
        <w:rPr>
          <w:lang w:val="sr-Cyrl-CS"/>
        </w:rPr>
      </w:pPr>
    </w:p>
    <w:p w:rsidR="000203FB" w:rsidRDefault="000203FB" w:rsidP="000203FB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0203FB" w:rsidRDefault="000203FB" w:rsidP="000203FB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438"/>
        <w:gridCol w:w="846"/>
        <w:gridCol w:w="979"/>
        <w:gridCol w:w="1650"/>
        <w:gridCol w:w="1701"/>
      </w:tblGrid>
      <w:tr w:rsidR="000203FB" w:rsidRPr="00F929AB" w:rsidTr="00732214">
        <w:trPr>
          <w:trHeight w:val="87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0203FB" w:rsidRPr="00F929AB" w:rsidTr="00732214">
        <w:trPr>
          <w:trHeight w:val="3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0203FB" w:rsidRPr="00F929AB" w:rsidTr="00732214">
        <w:trPr>
          <w:trHeight w:val="36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4B441F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Кепер трака памучна 4 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4B441F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A4443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3FB" w:rsidRPr="00F929AB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73221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AC65E4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Појасница синтетична</w:t>
            </w:r>
          </w:p>
          <w:p w:rsidR="000203FB" w:rsidRPr="00BA4443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(за панталоне)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73221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AC65E4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033" w:rsidRDefault="000203FB" w:rsidP="00120033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Крзавица синтетичка </w:t>
            </w:r>
            <w:r w:rsidR="00120033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</w:p>
          <w:p w:rsidR="000203FB" w:rsidRPr="00BA4443" w:rsidRDefault="000203FB" w:rsidP="00120033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( смб, опб и тпб)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73221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AC65E4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EB1A04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Ластиш учкур (смб и тпб)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73221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AC65E4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AC65E4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Патент ланац  С40 (смб и тпб 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469C5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134C52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A4443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D82AB2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Клизач за патент ланац С40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BA4443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D82AB2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134C52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D82AB2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Дугмад Л24 (тпб и сдб)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D82AB2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0203FB" w:rsidRPr="00F929AB" w:rsidTr="00134C52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lastRenderedPageBreak/>
              <w:t>8.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D82AB2" w:rsidRDefault="000203FB" w:rsidP="007322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Филц за крагне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3FB" w:rsidRPr="00D82AB2" w:rsidRDefault="000203FB" w:rsidP="007322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3FB" w:rsidRPr="00F929AB" w:rsidRDefault="000203FB" w:rsidP="007322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</w:tbl>
    <w:p w:rsidR="000203FB" w:rsidRDefault="000203FB" w:rsidP="000203FB">
      <w:pPr>
        <w:rPr>
          <w:kern w:val="2"/>
          <w:lang w:val="sr-Cyrl-CS"/>
        </w:rPr>
      </w:pPr>
    </w:p>
    <w:p w:rsidR="000203FB" w:rsidRDefault="000203FB" w:rsidP="000203FB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0203FB" w:rsidRDefault="000203FB" w:rsidP="000203FB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0203FB" w:rsidRDefault="000203FB" w:rsidP="000203F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0203FB" w:rsidRDefault="000203FB" w:rsidP="000203FB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0203FB" w:rsidRDefault="000203FB" w:rsidP="000203FB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0203FB" w:rsidRDefault="000203FB" w:rsidP="000203FB">
      <w:pPr>
        <w:tabs>
          <w:tab w:val="right" w:pos="8640"/>
        </w:tabs>
        <w:ind w:right="-1283"/>
        <w:rPr>
          <w:lang w:val="sr-Cyrl-RS"/>
        </w:rPr>
      </w:pPr>
    </w:p>
    <w:p w:rsidR="000203FB" w:rsidRDefault="000203FB" w:rsidP="000203FB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t xml:space="preserve">                                                                     Члан 3.</w:t>
      </w:r>
    </w:p>
    <w:p w:rsidR="000203FB" w:rsidRDefault="000203FB" w:rsidP="000203FB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0203FB" w:rsidRDefault="000203FB" w:rsidP="000203FB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0203FB" w:rsidRDefault="000203FB" w:rsidP="000203FB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0203FB" w:rsidRDefault="000203FB" w:rsidP="000203FB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0203FB" w:rsidRDefault="000203FB" w:rsidP="000203FB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203FB" w:rsidRDefault="000203FB" w:rsidP="000203FB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0203FB" w:rsidRDefault="000203FB" w:rsidP="000203FB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0203FB" w:rsidRDefault="000203FB" w:rsidP="000203FB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0203FB" w:rsidRDefault="000203FB" w:rsidP="000203FB">
      <w:pPr>
        <w:jc w:val="both"/>
        <w:rPr>
          <w:lang w:val="sr-Cyrl-CS"/>
        </w:rPr>
      </w:pPr>
    </w:p>
    <w:p w:rsidR="000203FB" w:rsidRDefault="000203FB" w:rsidP="000203FB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0203FB" w:rsidRDefault="000203FB" w:rsidP="000203FB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0203FB" w:rsidRDefault="000203FB" w:rsidP="000203FB">
      <w:pPr>
        <w:jc w:val="both"/>
        <w:rPr>
          <w:lang w:val="sr-Cyrl-CS"/>
        </w:rPr>
      </w:pPr>
    </w:p>
    <w:p w:rsidR="000203FB" w:rsidRDefault="000203FB" w:rsidP="000203FB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0203FB" w:rsidRDefault="000203FB" w:rsidP="000203FB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203FB" w:rsidRDefault="000203FB" w:rsidP="000203FB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0203FB" w:rsidRDefault="000203FB" w:rsidP="000203FB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0203FB" w:rsidRDefault="000203FB" w:rsidP="000203FB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0203FB" w:rsidRDefault="000203FB" w:rsidP="000203FB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0203FB" w:rsidRDefault="000203FB" w:rsidP="000203FB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0203FB" w:rsidRDefault="000203FB" w:rsidP="000203FB">
      <w:pPr>
        <w:jc w:val="center"/>
        <w:rPr>
          <w:lang w:val="sr-Cyrl-CS"/>
        </w:rPr>
      </w:pPr>
      <w:r>
        <w:rPr>
          <w:lang w:val="sr-Cyrl-CS"/>
        </w:rPr>
        <w:lastRenderedPageBreak/>
        <w:t>Члан 7.</w:t>
      </w:r>
    </w:p>
    <w:p w:rsidR="000203FB" w:rsidRDefault="000203FB" w:rsidP="000203FB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0203FB" w:rsidRDefault="000203FB" w:rsidP="000203FB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0203FB" w:rsidRDefault="000203FB" w:rsidP="000203FB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0203FB" w:rsidRDefault="000203FB" w:rsidP="000203FB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0203FB" w:rsidRDefault="000203FB" w:rsidP="000203FB">
      <w:pPr>
        <w:spacing w:line="240" w:lineRule="auto"/>
        <w:jc w:val="both"/>
        <w:rPr>
          <w:lang w:val="sr-Cyrl-CS"/>
        </w:rPr>
      </w:pPr>
    </w:p>
    <w:p w:rsidR="000203FB" w:rsidRDefault="000203FB" w:rsidP="000203FB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0203FB" w:rsidRDefault="000203FB" w:rsidP="000203FB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203FB" w:rsidRDefault="000203FB" w:rsidP="000203FB">
      <w:pPr>
        <w:spacing w:line="240" w:lineRule="auto"/>
        <w:jc w:val="center"/>
        <w:rPr>
          <w:lang w:val="sr-Cyrl-RS"/>
        </w:rPr>
      </w:pPr>
    </w:p>
    <w:p w:rsidR="000203FB" w:rsidRDefault="000203FB" w:rsidP="000203FB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0203FB" w:rsidRDefault="000203FB" w:rsidP="000203FB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0203FB" w:rsidRDefault="000203FB" w:rsidP="000203FB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0203FB" w:rsidRDefault="000203FB" w:rsidP="000203FB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0203FB" w:rsidRDefault="000203FB" w:rsidP="000203FB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0203FB" w:rsidRDefault="000203FB" w:rsidP="000203FB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203FB" w:rsidRDefault="000203FB" w:rsidP="000203FB">
      <w:pPr>
        <w:spacing w:line="240" w:lineRule="auto"/>
        <w:jc w:val="both"/>
        <w:rPr>
          <w:lang w:val="sr-Cyrl-CS"/>
        </w:rPr>
      </w:pPr>
    </w:p>
    <w:p w:rsidR="000203FB" w:rsidRDefault="000203FB" w:rsidP="000203FB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0203FB" w:rsidRDefault="000203FB" w:rsidP="000203FB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0203FB" w:rsidRDefault="000203FB" w:rsidP="000203FB">
      <w:pPr>
        <w:shd w:val="clear" w:color="auto" w:fill="FFFFFF"/>
        <w:spacing w:line="240" w:lineRule="auto"/>
        <w:jc w:val="both"/>
        <w:rPr>
          <w:lang w:val="sr-Cyrl-CS"/>
        </w:rPr>
      </w:pPr>
    </w:p>
    <w:p w:rsidR="000203FB" w:rsidRDefault="000203FB" w:rsidP="000203FB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0203FB" w:rsidRDefault="000203FB" w:rsidP="000203FB">
      <w:pPr>
        <w:shd w:val="clear" w:color="auto" w:fill="FFFFFF"/>
        <w:spacing w:line="240" w:lineRule="auto"/>
        <w:jc w:val="both"/>
        <w:rPr>
          <w:lang w:val="sr-Cyrl-RS"/>
        </w:rPr>
      </w:pPr>
    </w:p>
    <w:p w:rsidR="000203FB" w:rsidRDefault="000203FB" w:rsidP="000203FB">
      <w:pPr>
        <w:shd w:val="clear" w:color="auto" w:fill="FFFFFF"/>
        <w:spacing w:line="240" w:lineRule="auto"/>
        <w:jc w:val="both"/>
        <w:rPr>
          <w:lang w:val="sr-Cyrl-RS"/>
        </w:rPr>
      </w:pPr>
    </w:p>
    <w:p w:rsidR="00A0394C" w:rsidRDefault="00A0394C" w:rsidP="00A0394C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A0394C" w:rsidRDefault="00A0394C" w:rsidP="00A0394C">
      <w:pPr>
        <w:shd w:val="clear" w:color="auto" w:fill="FFFFFF"/>
        <w:jc w:val="both"/>
        <w:rPr>
          <w:b/>
          <w:lang w:val="sr-Cyrl-RS"/>
        </w:rPr>
      </w:pPr>
    </w:p>
    <w:p w:rsidR="009A4D82" w:rsidRDefault="009A4D82">
      <w:bookmarkStart w:id="0" w:name="_GoBack"/>
      <w:bookmarkEnd w:id="0"/>
    </w:p>
    <w:sectPr w:rsidR="009A4D82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14EBB"/>
    <w:rsid w:val="000203FB"/>
    <w:rsid w:val="000213EE"/>
    <w:rsid w:val="00022043"/>
    <w:rsid w:val="000336DC"/>
    <w:rsid w:val="00045D6E"/>
    <w:rsid w:val="00067C8F"/>
    <w:rsid w:val="000B0ACF"/>
    <w:rsid w:val="000C35B9"/>
    <w:rsid w:val="000F7189"/>
    <w:rsid w:val="00120033"/>
    <w:rsid w:val="00134C52"/>
    <w:rsid w:val="00202DCB"/>
    <w:rsid w:val="00233B1C"/>
    <w:rsid w:val="00234A14"/>
    <w:rsid w:val="002457E7"/>
    <w:rsid w:val="00256874"/>
    <w:rsid w:val="002732FE"/>
    <w:rsid w:val="0032678B"/>
    <w:rsid w:val="003623EA"/>
    <w:rsid w:val="00370E9B"/>
    <w:rsid w:val="003F20D4"/>
    <w:rsid w:val="004326E3"/>
    <w:rsid w:val="00453B93"/>
    <w:rsid w:val="00495449"/>
    <w:rsid w:val="004B441F"/>
    <w:rsid w:val="004C2FFA"/>
    <w:rsid w:val="005140EF"/>
    <w:rsid w:val="0055791C"/>
    <w:rsid w:val="0058093C"/>
    <w:rsid w:val="005E2C4A"/>
    <w:rsid w:val="00672886"/>
    <w:rsid w:val="006856ED"/>
    <w:rsid w:val="00787098"/>
    <w:rsid w:val="007C0ED7"/>
    <w:rsid w:val="007C3274"/>
    <w:rsid w:val="00825BF2"/>
    <w:rsid w:val="0087748A"/>
    <w:rsid w:val="008B2964"/>
    <w:rsid w:val="00960B6C"/>
    <w:rsid w:val="00963502"/>
    <w:rsid w:val="009925BB"/>
    <w:rsid w:val="009951D2"/>
    <w:rsid w:val="009A4D82"/>
    <w:rsid w:val="009A5E18"/>
    <w:rsid w:val="009D14E2"/>
    <w:rsid w:val="00A02623"/>
    <w:rsid w:val="00A0394C"/>
    <w:rsid w:val="00A314A3"/>
    <w:rsid w:val="00A56084"/>
    <w:rsid w:val="00AC65E4"/>
    <w:rsid w:val="00AF2EE5"/>
    <w:rsid w:val="00B3683B"/>
    <w:rsid w:val="00B469C5"/>
    <w:rsid w:val="00BA4443"/>
    <w:rsid w:val="00BC0A41"/>
    <w:rsid w:val="00C018A0"/>
    <w:rsid w:val="00C10AC1"/>
    <w:rsid w:val="00C55BD0"/>
    <w:rsid w:val="00C564E8"/>
    <w:rsid w:val="00C92CA9"/>
    <w:rsid w:val="00C94927"/>
    <w:rsid w:val="00CA0A45"/>
    <w:rsid w:val="00CC4E61"/>
    <w:rsid w:val="00CC4F15"/>
    <w:rsid w:val="00D82AB2"/>
    <w:rsid w:val="00DA473D"/>
    <w:rsid w:val="00DB0B13"/>
    <w:rsid w:val="00DD6A8C"/>
    <w:rsid w:val="00E152C0"/>
    <w:rsid w:val="00E179CA"/>
    <w:rsid w:val="00EB1A04"/>
    <w:rsid w:val="00ED3F09"/>
    <w:rsid w:val="00EF0C5C"/>
    <w:rsid w:val="00F07D36"/>
    <w:rsid w:val="00F13558"/>
    <w:rsid w:val="00F24A49"/>
    <w:rsid w:val="00F72EBA"/>
    <w:rsid w:val="00F7670F"/>
    <w:rsid w:val="00F929AB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C2CF5-CBA5-44B5-A93C-A76C6DAB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1060</Words>
  <Characters>6048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82</cp:revision>
  <dcterms:created xsi:type="dcterms:W3CDTF">2020-12-17T13:36:00Z</dcterms:created>
  <dcterms:modified xsi:type="dcterms:W3CDTF">2022-04-14T08:25:00Z</dcterms:modified>
</cp:coreProperties>
</file>